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757"/>
        <w:gridCol w:w="8220"/>
      </w:tblGrid>
      <w:tr>
        <w:tc>
          <w:tcPr>
            <w:tcW w:type="dxa" w:w="5270"/>
            <w:tcBorders>
              <w:top w:val="single" w:sz="0" w:color="FFFFFF"/>
              <w:left w:val="single" w:sz="0" w:color="FFFFFF"/>
              <w:bottom w:val="single" w:sz="0" w:color="FFFFFF"/>
              <w:right w:val="single" w:sz="0" w:color="FFFFFF"/>
              <w:insideH w:val="single" w:sz="0" w:color="FFFFFF"/>
              <w:insideV w:val="single" w:sz="0" w:color="FFFFFF"/>
            </w:tcBorders>
            <w:tcMar>
              <w:top w:w="40" w:type="dxa"/>
              <w:start w:w="50" w:type="dxa"/>
              <w:bottom w:w="40" w:type="dxa"/>
              <w:end w:w="50" w:type="dxa"/>
            </w:tcMar>
          </w:tcPr>
          <w:p>
            <w:pPr>
              <w:jc w:val="center"/>
            </w:pPr>
            <w:r>
              <w:drawing>
                <wp:inline xmlns:a="http://schemas.openxmlformats.org/drawingml/2006/main" xmlns:pic="http://schemas.openxmlformats.org/drawingml/2006/picture">
                  <wp:extent cx="936000" cy="923764"/>
                  <wp:docPr id="1" name="Picture 1"/>
                  <wp:cNvGraphicFramePr>
                    <a:graphicFrameLocks noChangeAspect="1"/>
                  </wp:cNvGraphicFramePr>
                  <a:graphic>
                    <a:graphicData uri="http://schemas.openxmlformats.org/drawingml/2006/picture">
                      <pic:pic>
                        <pic:nvPicPr>
                          <pic:cNvPr id="0" name="brholic_logo.png"/>
                          <pic:cNvPicPr/>
                        </pic:nvPicPr>
                        <pic:blipFill>
                          <a:blip r:embed="rId9"/>
                          <a:stretch>
                            <a:fillRect/>
                          </a:stretch>
                        </pic:blipFill>
                        <pic:spPr>
                          <a:xfrm>
                            <a:off x="0" y="0"/>
                            <a:ext cx="936000" cy="923764"/>
                          </a:xfrm>
                          <a:prstGeom prst="rect"/>
                        </pic:spPr>
                      </pic:pic>
                    </a:graphicData>
                  </a:graphic>
                </wp:inline>
              </w:drawing>
            </w:r>
          </w:p>
        </w:tc>
        <w:tc>
          <w:tcPr>
            <w:tcW w:type="dxa" w:w="5270"/>
            <w:tcBorders>
              <w:top w:val="single" w:sz="0" w:color="FFFFFF"/>
              <w:left w:val="single" w:sz="0" w:color="FFFFFF"/>
              <w:bottom w:val="single" w:sz="0" w:color="FFFFFF"/>
              <w:right w:val="single" w:sz="0" w:color="FFFFFF"/>
              <w:insideH w:val="single" w:sz="0" w:color="FFFFFF"/>
              <w:insideV w:val="single" w:sz="0" w:color="FFFFFF"/>
            </w:tcBorders>
            <w:tcMar>
              <w:top w:w="40" w:type="dxa"/>
              <w:start w:w="50" w:type="dxa"/>
              <w:bottom w:w="40" w:type="dxa"/>
              <w:end w:w="50" w:type="dxa"/>
            </w:tcMar>
          </w:tcPr>
          <w:p>
            <w:pPr>
              <w:jc w:val="center"/>
            </w:pPr>
            <w:r>
              <w:rPr>
                <w:b/>
                <w:color w:val="1A6141"/>
                <w:sz w:val="30"/>
              </w:rPr>
              <w:t>BRIGHT HOPE LIFE CAMEROON (BRHOLIC)</w:t>
            </w:r>
          </w:p>
          <w:p>
            <w:pPr>
              <w:jc w:val="center"/>
            </w:pPr>
            <w:r>
              <w:rPr>
                <w:sz w:val="19"/>
              </w:rPr>
              <w:t>Association humanitaire et sociale à but non lucratif - Région de l’Ouest, Cameroun</w:t>
            </w:r>
          </w:p>
          <w:p>
            <w:pPr>
              <w:jc w:val="center"/>
            </w:pPr>
            <w:r>
              <w:rPr>
                <w:color w:val="5A5A5A"/>
                <w:sz w:val="17"/>
              </w:rPr>
              <w:t>Récépissé N° 0092/RD/A/F.34/SAAJP - Préfecture de la Menoua - 20 août 2026</w:t>
            </w:r>
          </w:p>
          <w:p>
            <w:pPr>
              <w:jc w:val="center"/>
            </w:pPr>
            <w:r>
              <w:rPr>
                <w:b/>
                <w:i/>
                <w:color w:val="D68922"/>
                <w:sz w:val="21"/>
              </w:rPr>
              <w:t>« Donner l’Espoir, Transformer des Vies »</w:t>
            </w:r>
          </w:p>
        </w:tc>
      </w:tr>
    </w:tbl>
    <w:p>
      <w:pPr>
        <w:spacing w:before="100" w:after="20"/>
        <w:jc w:val="center"/>
      </w:pPr>
      <w:r>
        <w:rPr>
          <w:b/>
          <w:color w:val="D68922"/>
          <w:sz w:val="24"/>
        </w:rPr>
        <w:t>ANNEXE 1</w:t>
      </w:r>
    </w:p>
    <w:p>
      <w:pPr>
        <w:spacing w:after="20"/>
        <w:jc w:val="center"/>
      </w:pPr>
      <w:r>
        <w:rPr>
          <w:b/>
          <w:color w:val="1A6141"/>
          <w:sz w:val="28"/>
        </w:rPr>
        <w:t>CATALOGUE DES FORMATIONS ÉLIGIBLES, STRUCTURES PARTENAIRES ET TARIFS</w:t>
      </w:r>
    </w:p>
    <w:p>
      <w:pPr>
        <w:spacing w:after="180"/>
        <w:jc w:val="center"/>
      </w:pPr>
      <w:r>
        <w:rPr>
          <w:b/>
          <w:sz w:val="22"/>
        </w:rPr>
        <w:t>Programme BRHOLIC « COMPÉTENCES POUR L’ESPOIR » - ÉDITION 2026</w:t>
      </w:r>
    </w:p>
    <w:tbl>
      <w:tblPr>
        <w:tblW w:type="auto" w:w="0"/>
        <w:jc w:val="center"/>
        <w:tblLook w:firstColumn="1" w:firstRow="1" w:lastColumn="0" w:lastRow="0" w:noHBand="0" w:noVBand="1" w:val="04A0"/>
      </w:tblPr>
      <w:tblGrid>
        <w:gridCol w:w="10540"/>
      </w:tblGrid>
      <w:tr>
        <w:tc>
          <w:tcPr>
            <w:tcW w:type="dxa" w:w="10540"/>
            <w:shd w:fill="EEF6F1"/>
            <w:tcBorders>
              <w:top w:val="single" w:sz="6" w:color="9BC5AC"/>
              <w:left w:val="single" w:sz="6" w:color="9BC5AC"/>
              <w:bottom w:val="single" w:sz="6" w:color="9BC5AC"/>
              <w:right w:val="single" w:sz="6" w:color="9BC5AC"/>
              <w:insideH w:val="single" w:sz="6" w:color="9BC5AC"/>
              <w:insideV w:val="single" w:sz="6" w:color="9BC5AC"/>
            </w:tcBorders>
            <w:tcMar>
              <w:top w:w="120" w:type="dxa"/>
              <w:start w:w="140" w:type="dxa"/>
              <w:bottom w:w="120" w:type="dxa"/>
              <w:end w:w="140" w:type="dxa"/>
            </w:tcMar>
          </w:tcPr>
          <w:p>
            <w:r>
              <w:rPr>
                <w:b/>
              </w:rPr>
              <w:t xml:space="preserve">Principe de la bourse : </w:t>
            </w:r>
            <w:r>
              <w:t>BRHOLIC prend en charge 40 % du coût de formation indiqué pour le parcours retenu. Le bénéficiaire sélectionné prend en charge les 60 % restants. La contribution BRHOLIC est versée directement à la structure partenaire, selon les modalités convenues.</w:t>
            </w:r>
          </w:p>
          <w:p>
            <w:r>
              <w:rPr>
                <w:b/>
              </w:rPr>
              <w:t xml:space="preserve">Important : </w:t>
            </w:r>
            <w:r>
              <w:t>les calculs ci-dessous portent sur les coûts de formation communiqués. Les éventuels frais d'inscription, de dossier, d'examen ou autres frais spécifiques seront précisés dans la convention ou la notification d'admission avant tout engagement du bénéficiaire.</w:t>
            </w:r>
          </w:p>
        </w:tc>
      </w:tr>
    </w:tbl>
    <w:p>
      <w:pPr>
        <w:pStyle w:val="Heading1"/>
        <w:keepNext/>
      </w:pPr>
      <w:r>
        <w:t>1. Structures partenaires</w:t>
      </w:r>
    </w:p>
    <w:tbl>
      <w:tblPr>
        <w:tblW w:type="auto" w:w="0"/>
        <w:jc w:val="center"/>
        <w:tblLayout w:type="fixed"/>
        <w:tblLook w:firstColumn="1" w:firstRow="1" w:lastColumn="0" w:lastRow="0" w:noHBand="0" w:noVBand="1" w:val="04A0"/>
      </w:tblPr>
      <w:tblGrid>
        <w:gridCol w:w="5270"/>
        <w:gridCol w:w="5270"/>
      </w:tblGrid>
      <w:tr>
        <w:tc>
          <w:tcPr>
            <w:tcW w:type="dxa" w:w="5270"/>
            <w:shd w:fill="1A6141"/>
            <w:tcBorders>
              <w:top w:val="single" w:sz="5" w:color="FFFFFF"/>
              <w:left w:val="single" w:sz="5" w:color="FFFFFF"/>
              <w:bottom w:val="single" w:sz="5" w:color="FFFFFF"/>
              <w:right w:val="single" w:sz="5" w:color="FFFFFF"/>
              <w:insideH w:val="single" w:sz="5" w:color="FFFFFF"/>
              <w:insideV w:val="single" w:sz="5" w:color="FFFFFF"/>
            </w:tcBorders>
            <w:tcMar>
              <w:top w:w="80" w:type="dxa"/>
              <w:start w:w="90" w:type="dxa"/>
              <w:bottom w:w="80" w:type="dxa"/>
              <w:end w:w="90" w:type="dxa"/>
            </w:tcMar>
            <w:vAlign w:val="center"/>
          </w:tcPr>
          <w:p>
            <w:pPr>
              <w:jc w:val="center"/>
            </w:pPr>
            <w:r>
              <w:rPr>
                <w:b/>
                <w:color w:val="FFFFFF"/>
                <w:sz w:val="18"/>
              </w:rPr>
              <w:t>Structure partenaire</w:t>
            </w:r>
          </w:p>
        </w:tc>
        <w:tc>
          <w:tcPr>
            <w:tcW w:type="dxa" w:w="5270"/>
            <w:shd w:fill="1A6141"/>
            <w:tcBorders>
              <w:top w:val="single" w:sz="5" w:color="FFFFFF"/>
              <w:left w:val="single" w:sz="5" w:color="FFFFFF"/>
              <w:bottom w:val="single" w:sz="5" w:color="FFFFFF"/>
              <w:right w:val="single" w:sz="5" w:color="FFFFFF"/>
              <w:insideH w:val="single" w:sz="5" w:color="FFFFFF"/>
              <w:insideV w:val="single" w:sz="5" w:color="FFFFFF"/>
            </w:tcBorders>
            <w:tcMar>
              <w:top w:w="80" w:type="dxa"/>
              <w:start w:w="90" w:type="dxa"/>
              <w:bottom w:w="80" w:type="dxa"/>
              <w:end w:w="90" w:type="dxa"/>
            </w:tcMar>
            <w:vAlign w:val="center"/>
          </w:tcPr>
          <w:p>
            <w:pPr>
              <w:jc w:val="center"/>
            </w:pPr>
            <w:r>
              <w:rPr>
                <w:b/>
                <w:color w:val="FFFFFF"/>
                <w:sz w:val="18"/>
              </w:rPr>
              <w:t>Rôle dans le programme</w:t>
            </w:r>
          </w:p>
        </w:tc>
      </w:tr>
      <w:tr>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Leader Bright Professional and Technology Institute - Bafoussam</w:t>
            </w:r>
          </w:p>
        </w:tc>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Parcours longs de 1 an en Beauté et en Numérique.</w:t>
            </w:r>
          </w:p>
        </w:tc>
      </w:tr>
      <w:tr>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Leader Bright Beauty Salon - Bafoussam</w:t>
            </w:r>
          </w:p>
        </w:tc>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Parcours professionnels accélérés de 6 mois en Beauté et Bien-être.</w:t>
            </w:r>
          </w:p>
        </w:tc>
      </w:tr>
      <w:tr>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West Digital Hub - Bafoussam</w:t>
            </w:r>
          </w:p>
        </w:tc>
        <w:tc>
          <w:tcPr>
            <w:tcW w:type="dxa" w:w="5270"/>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Formations en métiers du numérique. Pour les filières IA et Cybersécurité/Pentester, la tarification communiquée inclut une majoration de 100 000 FCFA et une certification internationale.</w:t>
            </w:r>
          </w:p>
        </w:tc>
      </w:tr>
    </w:tbl>
    <w:p>
      <w:r>
        <w:br w:type="page"/>
      </w:r>
    </w:p>
    <w:p>
      <w:pPr>
        <w:pStyle w:val="Heading1"/>
        <w:keepNext/>
      </w:pPr>
      <w:r>
        <w:t>2. Pôle Beauté &amp; Bien-être</w:t>
      </w:r>
    </w:p>
    <w:p>
      <w:pPr>
        <w:pStyle w:val="Heading2"/>
        <w:keepNext/>
      </w:pPr>
      <w:r>
        <w:rPr>
          <w:color w:val="1A6141"/>
        </w:rPr>
        <w:t>2.1 Leader Bright Professional and Technology Institute</w:t>
      </w:r>
    </w:p>
    <w:p>
      <w:pPr>
        <w:spacing w:after="100"/>
      </w:pPr>
      <w:r>
        <w:rPr>
          <w:i/>
          <w:color w:val="5A5A5A"/>
          <w:sz w:val="19"/>
        </w:rPr>
        <w:t>Parcours de 1 an</w:t>
      </w:r>
    </w:p>
    <w:tbl>
      <w:tblPr>
        <w:tblW w:type="auto" w:w="0"/>
        <w:jc w:val="center"/>
        <w:tblLayout w:type="fixed"/>
        <w:tblLook w:firstColumn="1" w:firstRow="1" w:lastColumn="0" w:lastRow="0" w:noHBand="0" w:noVBand="1" w:val="04A0"/>
      </w:tblPr>
      <w:tblGrid>
        <w:gridCol w:w="2108"/>
        <w:gridCol w:w="2108"/>
        <w:gridCol w:w="2108"/>
        <w:gridCol w:w="2108"/>
        <w:gridCol w:w="2108"/>
      </w:tblGrid>
      <w:tr>
        <w:trPr>
          <w:tblHeader w:val="true"/>
          <w:cantSplit/>
        </w:trPr>
        <w:tc>
          <w:tcPr>
            <w:tcW w:type="dxa" w:w="3969"/>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Formation éligible</w:t>
            </w:r>
          </w:p>
        </w:tc>
        <w:tc>
          <w:tcPr>
            <w:tcW w:type="dxa" w:w="1134"/>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Durée</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Coût total</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BRHOLIC 40 %</w:t>
            </w:r>
          </w:p>
        </w:tc>
        <w:tc>
          <w:tcPr>
            <w:tcW w:type="dxa" w:w="170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Bénéficiaire 60 %</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Cosmétique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Esthétique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Coiffure professionnelle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Massothérapie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350 000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210 000 FCFA</w:t>
            </w:r>
          </w:p>
        </w:tc>
      </w:tr>
    </w:tbl>
    <w:p>
      <w:pPr>
        <w:spacing w:after="40"/>
      </w:pPr>
    </w:p>
    <w:p>
      <w:pPr>
        <w:pStyle w:val="Heading2"/>
        <w:keepNext/>
      </w:pPr>
      <w:r>
        <w:rPr>
          <w:color w:val="1A6141"/>
        </w:rPr>
        <w:t>2.2 Leader Bright Beauty Salon</w:t>
      </w:r>
    </w:p>
    <w:p>
      <w:pPr>
        <w:spacing w:after="100"/>
      </w:pPr>
      <w:r>
        <w:rPr>
          <w:i/>
          <w:color w:val="5A5A5A"/>
          <w:sz w:val="19"/>
        </w:rPr>
        <w:t>Parcours de 6 mois</w:t>
      </w:r>
    </w:p>
    <w:tbl>
      <w:tblPr>
        <w:tblW w:type="auto" w:w="0"/>
        <w:jc w:val="center"/>
        <w:tblLayout w:type="fixed"/>
        <w:tblLook w:firstColumn="1" w:firstRow="1" w:lastColumn="0" w:lastRow="0" w:noHBand="0" w:noVBand="1" w:val="04A0"/>
      </w:tblPr>
      <w:tblGrid>
        <w:gridCol w:w="2108"/>
        <w:gridCol w:w="2108"/>
        <w:gridCol w:w="2108"/>
        <w:gridCol w:w="2108"/>
        <w:gridCol w:w="2108"/>
      </w:tblGrid>
      <w:tr>
        <w:trPr>
          <w:tblHeader w:val="true"/>
          <w:cantSplit/>
        </w:trPr>
        <w:tc>
          <w:tcPr>
            <w:tcW w:type="dxa" w:w="3969"/>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Formation éligible</w:t>
            </w:r>
          </w:p>
        </w:tc>
        <w:tc>
          <w:tcPr>
            <w:tcW w:type="dxa" w:w="1134"/>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Durée</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Coût total</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BRHOLIC 40 %</w:t>
            </w:r>
          </w:p>
        </w:tc>
        <w:tc>
          <w:tcPr>
            <w:tcW w:type="dxa" w:w="170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Bénéficiaire 60 %</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Cosmétique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 mois</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450 000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180 000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270 000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Esthétique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 mois</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400 000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160 000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Coiffure professionnelle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 mois</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375 000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150 000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225 000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Massothérapie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 mois</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120 000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180 000 FCFA</w:t>
            </w:r>
          </w:p>
        </w:tc>
      </w:tr>
    </w:tbl>
    <w:p>
      <w:pPr>
        <w:spacing w:after="40"/>
      </w:pPr>
    </w:p>
    <w:p>
      <w:r>
        <w:br w:type="page"/>
      </w:r>
    </w:p>
    <w:p>
      <w:pPr>
        <w:pStyle w:val="Heading1"/>
        <w:keepNext/>
      </w:pPr>
      <w:r>
        <w:t>3. Pôle Numérique &amp; Technologie</w:t>
      </w:r>
    </w:p>
    <w:p>
      <w:pPr>
        <w:pStyle w:val="Heading2"/>
        <w:keepNext/>
      </w:pPr>
      <w:r>
        <w:rPr>
          <w:color w:val="1A6141"/>
        </w:rPr>
        <w:t>3.1 Leader Bright Professional and Technology Institute</w:t>
      </w:r>
    </w:p>
    <w:p>
      <w:pPr>
        <w:spacing w:after="100"/>
      </w:pPr>
      <w:r>
        <w:rPr>
          <w:i/>
          <w:color w:val="5A5A5A"/>
          <w:sz w:val="19"/>
        </w:rPr>
        <w:t>Parcours de 1 an</w:t>
      </w:r>
    </w:p>
    <w:tbl>
      <w:tblPr>
        <w:tblW w:type="auto" w:w="0"/>
        <w:jc w:val="center"/>
        <w:tblLayout w:type="fixed"/>
        <w:tblLook w:firstColumn="1" w:firstRow="1" w:lastColumn="0" w:lastRow="0" w:noHBand="0" w:noVBand="1" w:val="04A0"/>
      </w:tblPr>
      <w:tblGrid>
        <w:gridCol w:w="2108"/>
        <w:gridCol w:w="2108"/>
        <w:gridCol w:w="2108"/>
        <w:gridCol w:w="2108"/>
        <w:gridCol w:w="2108"/>
      </w:tblGrid>
      <w:tr>
        <w:trPr>
          <w:tblHeader w:val="true"/>
          <w:cantSplit/>
        </w:trPr>
        <w:tc>
          <w:tcPr>
            <w:tcW w:type="dxa" w:w="3969"/>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Formation éligible</w:t>
            </w:r>
          </w:p>
        </w:tc>
        <w:tc>
          <w:tcPr>
            <w:tcW w:type="dxa" w:w="1134"/>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Durée</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Coût total</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BRHOLIC 40 %</w:t>
            </w:r>
          </w:p>
        </w:tc>
        <w:tc>
          <w:tcPr>
            <w:tcW w:type="dxa" w:w="170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Bénéficiaire 60 %</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Marketing digital et IA</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500 000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200 000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300 000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Cybersécurité / Pentester</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Intelligence artificielle, automatisation et digitalisation des entreprises</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Infographie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Maintenance informatique et réseaux</w:t>
            </w:r>
          </w:p>
          <w:p>
            <w:r>
              <w:rPr>
                <w:i/>
                <w:color w:val="646464"/>
                <w:sz w:val="15"/>
              </w:rPr>
              <w:t>Filière disponible sous réserve de validation dans le quota numérique.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Secrétariat bureautique</w:t>
            </w:r>
          </w:p>
          <w:p>
            <w:r>
              <w:rPr>
                <w:i/>
                <w:color w:val="646464"/>
                <w:sz w:val="15"/>
              </w:rPr>
              <w:t>Filière disponible sous réserve de validation dans le quota numérique.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500 000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200 000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300 000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Développement d'applications</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bl>
    <w:p>
      <w:pPr>
        <w:spacing w:after="40"/>
      </w:pPr>
    </w:p>
    <w:p>
      <w:r>
        <w:br w:type="page"/>
      </w:r>
    </w:p>
    <w:p>
      <w:pPr>
        <w:pStyle w:val="Heading2"/>
        <w:keepNext/>
      </w:pPr>
      <w:r>
        <w:rPr>
          <w:color w:val="1A6141"/>
        </w:rPr>
        <w:t>3.2 West Digital Hub</w:t>
      </w:r>
    </w:p>
    <w:p>
      <w:pPr>
        <w:spacing w:after="100"/>
      </w:pPr>
      <w:r>
        <w:rPr>
          <w:i/>
          <w:color w:val="5A5A5A"/>
          <w:sz w:val="19"/>
        </w:rPr>
        <w:t>Tarifs alignés sur ceux de l’Institut pour les métiers du numérique, avec majoration de 100 000 FCFA pour les filières IA et Cybersécurité/Pentester, incluant une certification internationale.</w:t>
      </w:r>
    </w:p>
    <w:tbl>
      <w:tblPr>
        <w:tblW w:type="auto" w:w="0"/>
        <w:jc w:val="center"/>
        <w:tblLayout w:type="fixed"/>
        <w:tblLook w:firstColumn="1" w:firstRow="1" w:lastColumn="0" w:lastRow="0" w:noHBand="0" w:noVBand="1" w:val="04A0"/>
      </w:tblPr>
      <w:tblGrid>
        <w:gridCol w:w="2108"/>
        <w:gridCol w:w="2108"/>
        <w:gridCol w:w="2108"/>
        <w:gridCol w:w="2108"/>
        <w:gridCol w:w="2108"/>
      </w:tblGrid>
      <w:tr>
        <w:trPr>
          <w:tblHeader w:val="true"/>
          <w:cantSplit/>
        </w:trPr>
        <w:tc>
          <w:tcPr>
            <w:tcW w:type="dxa" w:w="3969"/>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Formation éligible</w:t>
            </w:r>
          </w:p>
        </w:tc>
        <w:tc>
          <w:tcPr>
            <w:tcW w:type="dxa" w:w="1134"/>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Durée</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Coût total</w:t>
            </w:r>
          </w:p>
        </w:tc>
        <w:tc>
          <w:tcPr>
            <w:tcW w:type="dxa" w:w="136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BRHOLIC 40 %</w:t>
            </w:r>
          </w:p>
        </w:tc>
        <w:tc>
          <w:tcPr>
            <w:tcW w:type="dxa" w:w="1701"/>
            <w:shd w:fill="1A6141"/>
            <w:tcBorders>
              <w:top w:val="single" w:sz="5" w:color="FFFFFF"/>
              <w:left w:val="single" w:sz="5" w:color="FFFFFF"/>
              <w:bottom w:val="single" w:sz="5" w:color="FFFFFF"/>
              <w:right w:val="single" w:sz="5" w:color="FFFFFF"/>
              <w:insideH w:val="single" w:sz="5" w:color="FFFFFF"/>
              <w:insideV w:val="single" w:sz="5" w:color="FFFFFF"/>
            </w:tcBorders>
            <w:tcMar>
              <w:top w:w="100" w:type="dxa"/>
              <w:start w:w="100" w:type="dxa"/>
              <w:bottom w:w="100" w:type="dxa"/>
              <w:end w:w="100" w:type="dxa"/>
            </w:tcMar>
            <w:vAlign w:val="center"/>
          </w:tcPr>
          <w:p>
            <w:pPr>
              <w:jc w:val="center"/>
            </w:pPr>
            <w:r>
              <w:rPr>
                <w:b/>
                <w:color w:val="FFFFFF"/>
                <w:sz w:val="18"/>
              </w:rPr>
              <w:t>Bénéficiaire 60 %</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Marketing digital et IA</w:t>
            </w:r>
          </w:p>
          <w:p>
            <w:r>
              <w:rPr>
                <w:i/>
                <w:color w:val="646464"/>
                <w:sz w:val="15"/>
              </w:rPr>
              <w:t>Tarif aligné sur celui de l’Institut, sauf confirmation contraire.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500 000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200 000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300 000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Cybersécurité / Pentester</w:t>
            </w:r>
          </w:p>
          <w:p>
            <w:r>
              <w:rPr>
                <w:i/>
                <w:color w:val="646464"/>
                <w:sz w:val="15"/>
              </w:rPr>
              <w:t>Inclut la majoration de 100 000 FCFA et une certification internationale.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700 000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280 000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420 000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Intelligence artificielle, automatisation et digitalisation des entreprises</w:t>
            </w:r>
          </w:p>
          <w:p>
            <w:r>
              <w:rPr>
                <w:i/>
                <w:color w:val="646464"/>
                <w:sz w:val="15"/>
              </w:rPr>
              <w:t>Inclut la majoration de 100 000 FCFA et une certification internationale.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700 000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280 000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420 000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Infographie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Maintenance informatique et réseaux</w:t>
            </w:r>
          </w:p>
          <w:p>
            <w:r>
              <w:rPr>
                <w:i/>
                <w:color w:val="646464"/>
                <w:sz w:val="15"/>
              </w:rPr>
              <w:t>Filière disponible sous réserve de validation dans le quota numérique.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Secrétariat bureautique</w:t>
            </w:r>
          </w:p>
          <w:p>
            <w:r>
              <w:rPr>
                <w:i/>
                <w:color w:val="646464"/>
                <w:sz w:val="15"/>
              </w:rPr>
              <w:t>Filière disponible sous réserve de validation dans le quota numérique.</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500 000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200 000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300 000 FCFA</w:t>
            </w:r>
          </w:p>
        </w:tc>
      </w:tr>
      <w:tr>
        <w:trPr>
          <w:cantSplit/>
        </w:trPr>
        <w:tc>
          <w:tcPr>
            <w:tcW w:type="dxa" w:w="3969"/>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left"/>
            </w:pPr>
            <w:r>
              <w:rPr>
                <w:sz w:val="17"/>
              </w:rPr>
              <w:t>Développement d'applications</w:t>
            </w:r>
          </w:p>
        </w:tc>
        <w:tc>
          <w:tcPr>
            <w:tcW w:type="dxa" w:w="1134"/>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1 an</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600 000 FCFA</w:t>
            </w:r>
          </w:p>
        </w:tc>
        <w:tc>
          <w:tcPr>
            <w:tcW w:type="dxa" w:w="136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240 000 FCFA</w:t>
            </w:r>
          </w:p>
        </w:tc>
        <w:tc>
          <w:tcPr>
            <w:tcW w:type="dxa" w:w="1701"/>
            <w:tcBorders>
              <w:top w:val="single" w:sz="6" w:color="B7B7B7"/>
              <w:left w:val="single" w:sz="6" w:color="B7B7B7"/>
              <w:bottom w:val="single" w:sz="6" w:color="B7B7B7"/>
              <w:right w:val="single" w:sz="6" w:color="B7B7B7"/>
              <w:insideH w:val="single" w:sz="6" w:color="B7B7B7"/>
              <w:insideV w:val="single" w:sz="6" w:color="B7B7B7"/>
            </w:tcBorders>
            <w:tcMar>
              <w:top w:w="80" w:type="dxa"/>
              <w:start w:w="90" w:type="dxa"/>
              <w:bottom w:w="80" w:type="dxa"/>
              <w:end w:w="90" w:type="dxa"/>
            </w:tcMar>
            <w:vAlign w:val="center"/>
          </w:tcPr>
          <w:p>
            <w:pPr>
              <w:jc w:val="center"/>
            </w:pPr>
            <w:r>
              <w:rPr>
                <w:sz w:val="17"/>
              </w:rPr>
              <w:t>360 000 FCFA</w:t>
            </w:r>
          </w:p>
        </w:tc>
      </w:tr>
    </w:tbl>
    <w:p>
      <w:pPr>
        <w:spacing w:after="40"/>
      </w:pPr>
    </w:p>
    <w:p>
      <w:pPr>
        <w:pStyle w:val="Heading1"/>
        <w:keepNext/>
      </w:pPr>
      <w:r>
        <w:t>4. Règles d’utilisation du catalogue</w:t>
      </w:r>
    </w:p>
    <w:p>
      <w:pPr>
        <w:pStyle w:val="ListBullet"/>
        <w:spacing w:after="60"/>
      </w:pPr>
      <w:r>
        <w:t>Le candidat choisit une seule formation principale dans la fiche de candidature.</w:t>
      </w:r>
    </w:p>
    <w:p>
      <w:pPr>
        <w:pStyle w:val="ListBullet"/>
        <w:spacing w:after="60"/>
      </w:pPr>
      <w:r>
        <w:t>L’attribution de la bourse dépend du quota disponible, de la situation socio-économique du candidat, de sa motivation et de la cohérence de son projet professionnel.</w:t>
      </w:r>
    </w:p>
    <w:p>
      <w:pPr>
        <w:pStyle w:val="ListBullet"/>
        <w:spacing w:after="60"/>
      </w:pPr>
      <w:r>
        <w:t>La bourse représente 40 % du coût de formation figurant dans la présente annexe. Aucun montant correspondant à la bourse n’est remis directement au bénéficiaire.</w:t>
      </w:r>
    </w:p>
    <w:p>
      <w:pPr>
        <w:pStyle w:val="ListBullet"/>
        <w:spacing w:after="60"/>
      </w:pPr>
      <w:r>
        <w:t>Le bénéficiaire doit confirmer sa capacité à mobiliser les 60 % restants avant validation définitive de son admission.</w:t>
      </w:r>
    </w:p>
    <w:p>
      <w:pPr>
        <w:pStyle w:val="ListBullet"/>
        <w:spacing w:after="60"/>
      </w:pPr>
      <w:r>
        <w:t>Les formations sont suivies exclusivement dans les structures partenaires reconnues par BRHOLIC pour cette édition.</w:t>
      </w:r>
    </w:p>
    <w:p>
      <w:pPr>
        <w:pStyle w:val="ListBullet"/>
        <w:spacing w:after="60"/>
      </w:pPr>
      <w:r>
        <w:t>Les tarifs peuvent être révisés uniquement sur notification écrite de la structure partenaire et validation de BRHOLIC avant inscription du bénéficiaire.</w:t>
      </w:r>
    </w:p>
    <w:p>
      <w:pPr>
        <w:pStyle w:val="ListBullet"/>
        <w:spacing w:after="60"/>
      </w:pPr>
      <w:r>
        <w:t>Les spécialités de courte durée visibles dans certaines grilles commerciales ne sont pas automatiquement éligibles à la bourse, sauf décision expresse de BRHOLIC pour l’édition 2026.</w:t>
      </w:r>
    </w:p>
    <w:tbl>
      <w:tblPr>
        <w:tblW w:type="auto" w:w="0"/>
        <w:tblLook w:firstColumn="1" w:firstRow="1" w:lastColumn="0" w:lastRow="0" w:noHBand="0" w:noVBand="1" w:val="04A0"/>
      </w:tblPr>
      <w:tblGrid>
        <w:gridCol w:w="10540"/>
      </w:tblGrid>
      <w:tr>
        <w:tc>
          <w:tcPr>
            <w:tcW w:type="dxa" w:w="10540"/>
            <w:shd w:fill="FFF7E8"/>
            <w:tcBorders>
              <w:top w:val="single" w:sz="6" w:color="E5B55A"/>
              <w:left w:val="single" w:sz="6" w:color="E5B55A"/>
              <w:bottom w:val="single" w:sz="6" w:color="E5B55A"/>
              <w:right w:val="single" w:sz="6" w:color="E5B55A"/>
              <w:insideH w:val="single" w:sz="6" w:color="E5B55A"/>
              <w:insideV w:val="single" w:sz="6" w:color="E5B55A"/>
            </w:tcBorders>
            <w:tcMar>
              <w:top w:w="120" w:type="dxa"/>
              <w:start w:w="140" w:type="dxa"/>
              <w:bottom w:w="120" w:type="dxa"/>
              <w:end w:w="140" w:type="dxa"/>
            </w:tcMar>
          </w:tcPr>
          <w:p>
            <w:r>
              <w:rPr>
                <w:b/>
              </w:rPr>
              <w:t xml:space="preserve">Note de validation tarifaire - West Digital Hub : </w:t>
            </w:r>
            <w:r>
              <w:t>la majoration de 100 000 FCFA a été appliquée aux filières « Cybersécurité/Pentester » et « Intelligence artificielle, automatisation et digitalisation des entreprises », conformément aux indications fournies. Le tarif « Marketing digital et IA » est maintenu au tarif de base de l’Institut dans cette version du catalogue, sauf confirmation contraire de West Digital Hub.</w:t>
            </w:r>
          </w:p>
        </w:tc>
      </w:tr>
    </w:tbl>
    <w:p>
      <w:pPr>
        <w:spacing w:before="160"/>
        <w:jc w:val="center"/>
      </w:pPr>
      <w:r>
        <w:rPr>
          <w:b/>
          <w:color w:val="1A6141"/>
        </w:rPr>
        <w:t>BRIGHT HOPE LIFE CAMEROON (BRHOLIC)</w:t>
      </w:r>
    </w:p>
    <w:p>
      <w:pPr>
        <w:jc w:val="center"/>
      </w:pPr>
      <w:r>
        <w:t>E-mail : brighthopelife@gmail.com   |   Site web : www.brighthopelifecameroon.org</w:t>
      </w:r>
    </w:p>
    <w:sectPr w:rsidR="00FC693F" w:rsidRPr="0006063C" w:rsidSect="00034616">
      <w:footerReference w:type="default" r:id="rId10"/>
      <w:pgSz w:w="12240" w:h="15840"/>
      <w:pgMar w:top="680" w:right="850" w:bottom="765"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 xml:space="preserve">Programme « Compétences pour l’Espoir » - Catalogue des formations éligibles 2026   |   </w:t>
    </w: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141"/>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